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8E" w:rsidRDefault="002674DA" w:rsidP="002E3A86">
      <w:pPr>
        <w:ind w:left="-851" w:firstLine="142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inline distT="0" distB="0" distL="0" distR="0">
            <wp:extent cx="8886825" cy="876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CF3" w:rsidRDefault="00AD7CF3" w:rsidP="0000038E">
      <w:pPr>
        <w:ind w:left="-851" w:firstLine="142"/>
        <w:jc w:val="center"/>
        <w:rPr>
          <w:b/>
          <w:sz w:val="36"/>
          <w:szCs w:val="36"/>
        </w:rPr>
      </w:pPr>
      <w:r w:rsidRPr="0000038E">
        <w:rPr>
          <w:b/>
          <w:sz w:val="36"/>
          <w:szCs w:val="36"/>
        </w:rPr>
        <w:t xml:space="preserve">Zestawienie </w:t>
      </w:r>
      <w:r w:rsidR="005F6E6C" w:rsidRPr="0000038E">
        <w:rPr>
          <w:b/>
          <w:sz w:val="36"/>
          <w:szCs w:val="36"/>
        </w:rPr>
        <w:t xml:space="preserve">istotnych </w:t>
      </w:r>
      <w:r w:rsidRPr="0000038E">
        <w:rPr>
          <w:b/>
          <w:sz w:val="36"/>
          <w:szCs w:val="36"/>
        </w:rPr>
        <w:t xml:space="preserve">zmian </w:t>
      </w:r>
      <w:r w:rsidR="00740B36" w:rsidRPr="0000038E">
        <w:rPr>
          <w:b/>
          <w:sz w:val="36"/>
          <w:szCs w:val="36"/>
        </w:rPr>
        <w:t>d</w:t>
      </w:r>
      <w:bookmarkStart w:id="0" w:name="_GoBack"/>
      <w:bookmarkEnd w:id="0"/>
      <w:r w:rsidR="00740B36" w:rsidRPr="0000038E">
        <w:rPr>
          <w:b/>
          <w:sz w:val="36"/>
          <w:szCs w:val="36"/>
        </w:rPr>
        <w:t>o RPO WSL 2014-2020</w:t>
      </w:r>
      <w:r w:rsidR="009521C8">
        <w:rPr>
          <w:b/>
          <w:sz w:val="36"/>
          <w:szCs w:val="36"/>
        </w:rPr>
        <w:br/>
        <w:t xml:space="preserve"> </w:t>
      </w:r>
      <w:r w:rsidR="009521C8" w:rsidRPr="009521C8">
        <w:rPr>
          <w:b/>
          <w:sz w:val="28"/>
          <w:szCs w:val="28"/>
        </w:rPr>
        <w:t>(aktualizacja z 16 sierpnia 2018 r.)</w:t>
      </w:r>
    </w:p>
    <w:sdt>
      <w:sdtPr>
        <w:rPr>
          <w:color w:val="auto"/>
          <w:sz w:val="32"/>
          <w:szCs w:val="32"/>
        </w:rPr>
        <w:id w:val="1630212735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  <w:lang w:eastAsia="en-US"/>
        </w:rPr>
      </w:sdtEndPr>
      <w:sdtContent>
        <w:p w:rsidR="0000038E" w:rsidRPr="0000038E" w:rsidRDefault="0000038E">
          <w:pPr>
            <w:pStyle w:val="Nagwekspisutreci"/>
            <w:rPr>
              <w:color w:val="auto"/>
              <w:sz w:val="32"/>
              <w:szCs w:val="32"/>
            </w:rPr>
          </w:pPr>
          <w:r w:rsidRPr="0000038E">
            <w:rPr>
              <w:color w:val="auto"/>
              <w:sz w:val="32"/>
              <w:szCs w:val="32"/>
            </w:rPr>
            <w:t>Spis treści</w:t>
          </w:r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2620486" w:history="1">
            <w:r w:rsidRPr="009C3391">
              <w:rPr>
                <w:rStyle w:val="Hipercze"/>
                <w:noProof/>
              </w:rPr>
              <w:t>Oś I Nowoczesna Gospodarka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87" w:history="1">
            <w:r w:rsidRPr="009C3391">
              <w:rPr>
                <w:rStyle w:val="Hipercze"/>
                <w:noProof/>
              </w:rPr>
              <w:t>Oś II Cyfrowe Śląskie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88" w:history="1">
            <w:r w:rsidRPr="009C3391">
              <w:rPr>
                <w:rStyle w:val="Hipercze"/>
                <w:noProof/>
              </w:rPr>
              <w:t>Oś III Konkurencyjność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89" w:history="1">
            <w:r w:rsidRPr="009C3391">
              <w:rPr>
                <w:rStyle w:val="Hipercze"/>
                <w:noProof/>
              </w:rPr>
              <w:t>Oś IV Efektywność energetyczna, odnawialne źródła energii  i gospodarka niskoemisyjna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0" w:history="1">
            <w:r w:rsidRPr="009C3391">
              <w:rPr>
                <w:rStyle w:val="Hipercze"/>
                <w:noProof/>
              </w:rPr>
              <w:t>Oś V Ochrona środowiska  i efektywne wykorzystanie zasobów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1" w:history="1">
            <w:r w:rsidRPr="009C3391">
              <w:rPr>
                <w:rStyle w:val="Hipercze"/>
                <w:noProof/>
              </w:rPr>
              <w:t>Oś VI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2" w:history="1">
            <w:r w:rsidRPr="009C3391">
              <w:rPr>
                <w:rStyle w:val="Hipercze"/>
                <w:noProof/>
              </w:rPr>
              <w:t>Oś VII Rynek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3" w:history="1">
            <w:r w:rsidRPr="009C3391">
              <w:rPr>
                <w:rStyle w:val="Hipercze"/>
                <w:noProof/>
              </w:rPr>
              <w:t>Oś VIII Regionalne kadry gospodarki opartej na wiedzy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4" w:history="1">
            <w:r w:rsidRPr="009C3391">
              <w:rPr>
                <w:rStyle w:val="Hipercze"/>
                <w:noProof/>
              </w:rPr>
              <w:t>Oś IX Włączenie społeczne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5" w:history="1">
            <w:r w:rsidRPr="009C3391">
              <w:rPr>
                <w:rStyle w:val="Hipercze"/>
                <w:noProof/>
              </w:rPr>
              <w:t>Oś X Rewitalizacja oraz infrastruktura społeczna  i 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6" w:history="1">
            <w:r w:rsidRPr="009C3391">
              <w:rPr>
                <w:rStyle w:val="Hipercze"/>
                <w:noProof/>
              </w:rPr>
              <w:t>Oś XI Wzmocnienie potencjału edukacyjnego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7" w:history="1">
            <w:r w:rsidRPr="009C3391">
              <w:rPr>
                <w:rStyle w:val="Hipercze"/>
                <w:noProof/>
              </w:rPr>
              <w:t>Zmiany horyzontalne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522620498" w:history="1">
            <w:r w:rsidRPr="009C3391">
              <w:rPr>
                <w:rStyle w:val="Hipercze"/>
                <w:noProof/>
              </w:rPr>
              <w:t>Zmiany we wskaźnikach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_Toc522620498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38E" w:rsidRDefault="0000038E">
          <w:r>
            <w:rPr>
              <w:b/>
              <w:bCs/>
            </w:rPr>
            <w:fldChar w:fldCharType="end"/>
          </w:r>
        </w:p>
      </w:sdtContent>
    </w:sdt>
    <w:p w:rsidR="0000038E" w:rsidRDefault="0000038E" w:rsidP="004E5784">
      <w:pPr>
        <w:rPr>
          <w:b/>
          <w:sz w:val="36"/>
          <w:szCs w:val="36"/>
        </w:rPr>
      </w:pPr>
    </w:p>
    <w:p w:rsidR="004E5784" w:rsidRDefault="004E5784" w:rsidP="004E5784"/>
    <w:tbl>
      <w:tblPr>
        <w:tblStyle w:val="Tabela-Siatka"/>
        <w:tblW w:w="15310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12474"/>
      </w:tblGrid>
      <w:tr w:rsidR="008973A0" w:rsidRPr="00230BCA" w:rsidTr="008973A0">
        <w:trPr>
          <w:trHeight w:val="617"/>
          <w:tblHeader/>
        </w:trPr>
        <w:tc>
          <w:tcPr>
            <w:tcW w:w="567" w:type="dxa"/>
          </w:tcPr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30BCA">
              <w:rPr>
                <w:rFonts w:ascii="Arial" w:hAnsi="Arial" w:cs="Arial"/>
                <w:b/>
              </w:rPr>
              <w:t>.p.</w:t>
            </w:r>
          </w:p>
        </w:tc>
        <w:tc>
          <w:tcPr>
            <w:tcW w:w="2269" w:type="dxa"/>
          </w:tcPr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 xml:space="preserve">Oś priorytetowa </w:t>
            </w:r>
          </w:p>
        </w:tc>
        <w:tc>
          <w:tcPr>
            <w:tcW w:w="12474" w:type="dxa"/>
          </w:tcPr>
          <w:p w:rsidR="008973A0" w:rsidRPr="00230BCA" w:rsidRDefault="008973A0" w:rsidP="008973A0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Najistotniejsze zmiany</w:t>
            </w:r>
          </w:p>
        </w:tc>
      </w:tr>
      <w:tr w:rsidR="008973A0" w:rsidRPr="00230BCA" w:rsidTr="008973A0">
        <w:trPr>
          <w:trHeight w:val="4565"/>
        </w:trPr>
        <w:tc>
          <w:tcPr>
            <w:tcW w:w="567" w:type="dxa"/>
          </w:tcPr>
          <w:p w:rsidR="004E5784" w:rsidRDefault="004E5784" w:rsidP="004E5784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4E578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69" w:type="dxa"/>
          </w:tcPr>
          <w:p w:rsidR="008973A0" w:rsidRPr="004E5784" w:rsidRDefault="008973A0" w:rsidP="004E5784">
            <w:pPr>
              <w:pStyle w:val="Nagwek1"/>
              <w:rPr>
                <w:color w:val="auto"/>
              </w:rPr>
            </w:pPr>
            <w:bookmarkStart w:id="1" w:name="_Toc522620486"/>
            <w:r w:rsidRPr="004E5784">
              <w:rPr>
                <w:color w:val="auto"/>
              </w:rPr>
              <w:t>Oś I Nowoczesna Gospodarka</w:t>
            </w:r>
            <w:bookmarkEnd w:id="1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8529B3" w:rsidRDefault="008973A0" w:rsidP="008529B3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8529B3">
              <w:rPr>
                <w:rFonts w:ascii="Arial" w:hAnsi="Arial" w:cs="Arial"/>
              </w:rPr>
              <w:t xml:space="preserve">Dodanie nowego typu projektu w działaniu 1.2 </w:t>
            </w:r>
            <w:r w:rsidRPr="008529B3">
              <w:rPr>
                <w:rFonts w:ascii="Arial" w:hAnsi="Arial" w:cs="Arial"/>
                <w:i/>
              </w:rPr>
              <w:t xml:space="preserve">Badania, rozwój i innowacje w przedsiębiorstwach, </w:t>
            </w:r>
            <w:r w:rsidRPr="008529B3">
              <w:rPr>
                <w:rFonts w:ascii="Arial" w:hAnsi="Arial" w:cs="Arial"/>
              </w:rPr>
              <w:t>dotyczącego zaku</w:t>
            </w:r>
            <w:r>
              <w:rPr>
                <w:rFonts w:ascii="Arial" w:hAnsi="Arial" w:cs="Arial"/>
              </w:rPr>
              <w:t xml:space="preserve">pu usług proinnowacyjnych przez </w:t>
            </w:r>
            <w:r w:rsidRPr="008529B3">
              <w:rPr>
                <w:rFonts w:ascii="Arial" w:hAnsi="Arial" w:cs="Arial"/>
              </w:rPr>
              <w:t>przedsiębiorców.</w:t>
            </w:r>
          </w:p>
          <w:p w:rsidR="008973A0" w:rsidRPr="008529B3" w:rsidRDefault="008973A0" w:rsidP="008529B3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  <w:b/>
              </w:rPr>
            </w:pPr>
            <w:r w:rsidRPr="008529B3">
              <w:rPr>
                <w:rFonts w:ascii="Arial" w:hAnsi="Arial" w:cs="Arial"/>
              </w:rPr>
              <w:t>Wprowadzenie nowego celu szczegółowego, dotyczącego zarządzania i wdrażania Regionalnej Strategii Innowacji oraz infrastruktury wsparcia innowacji o charakterze regionalnym (działanie 1.4), realizowanego w całości w trybie pozakonkursowym.</w:t>
            </w:r>
          </w:p>
          <w:p w:rsidR="008973A0" w:rsidRPr="008529B3" w:rsidRDefault="008973A0" w:rsidP="008529B3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8529B3">
              <w:rPr>
                <w:rFonts w:ascii="Arial" w:hAnsi="Arial" w:cs="Arial"/>
              </w:rPr>
              <w:t xml:space="preserve">Przesunięcie alokacji z działania 1.2 </w:t>
            </w:r>
            <w:r w:rsidRPr="008529B3">
              <w:rPr>
                <w:rFonts w:ascii="Arial" w:hAnsi="Arial" w:cs="Arial"/>
                <w:i/>
              </w:rPr>
              <w:t>Badania, rozwój i innowacje w przedsiębiorstwach</w:t>
            </w:r>
            <w:r w:rsidRPr="008529B3">
              <w:rPr>
                <w:rFonts w:ascii="Arial" w:hAnsi="Arial" w:cs="Arial"/>
              </w:rPr>
              <w:t xml:space="preserve"> na nowe działanie 1.4 dot. ekosystemu innowacji oraz z Działania 1.3 </w:t>
            </w:r>
            <w:r w:rsidRPr="008529B3">
              <w:rPr>
                <w:rFonts w:ascii="Arial" w:hAnsi="Arial" w:cs="Arial"/>
                <w:i/>
              </w:rPr>
              <w:t xml:space="preserve">Profesjonalizacja IOB </w:t>
            </w:r>
            <w:r w:rsidRPr="008529B3">
              <w:rPr>
                <w:rFonts w:ascii="Arial" w:hAnsi="Arial" w:cs="Arial"/>
              </w:rPr>
              <w:t xml:space="preserve">na nowe działanie 1.4 dot. ekosystemu innowacji, </w:t>
            </w:r>
            <w:r>
              <w:rPr>
                <w:rFonts w:ascii="Arial" w:hAnsi="Arial" w:cs="Arial"/>
              </w:rPr>
              <w:br/>
            </w:r>
            <w:r w:rsidRPr="008529B3">
              <w:rPr>
                <w:rFonts w:ascii="Arial" w:hAnsi="Arial" w:cs="Arial"/>
              </w:rPr>
              <w:t xml:space="preserve">łączne przesunięcie </w:t>
            </w:r>
            <w:r w:rsidRPr="005F6E6C">
              <w:rPr>
                <w:rFonts w:ascii="Arial" w:hAnsi="Arial" w:cs="Arial"/>
              </w:rPr>
              <w:t>17,7 mln euro na nowe działanie 1.4.</w:t>
            </w:r>
          </w:p>
          <w:p w:rsidR="008973A0" w:rsidRPr="008529B3" w:rsidRDefault="008973A0" w:rsidP="008529B3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  <w:b/>
              </w:rPr>
            </w:pPr>
            <w:r w:rsidRPr="008529B3">
              <w:rPr>
                <w:rFonts w:ascii="Arial" w:hAnsi="Arial" w:cs="Arial"/>
              </w:rPr>
              <w:t xml:space="preserve">Przesunięcie alokacji z działania 1.2 </w:t>
            </w:r>
            <w:r w:rsidRPr="008529B3">
              <w:rPr>
                <w:rFonts w:ascii="Arial" w:hAnsi="Arial" w:cs="Arial"/>
                <w:i/>
              </w:rPr>
              <w:t>Badania, rozwój i innowacje w przedsiębiorstwach</w:t>
            </w:r>
            <w:r w:rsidRPr="008529B3">
              <w:rPr>
                <w:rFonts w:ascii="Arial" w:hAnsi="Arial" w:cs="Arial"/>
              </w:rPr>
              <w:t xml:space="preserve"> na działanie 3.2 – </w:t>
            </w:r>
            <w:r w:rsidRPr="008529B3">
              <w:rPr>
                <w:rFonts w:ascii="Arial" w:hAnsi="Arial" w:cs="Arial"/>
                <w:i/>
              </w:rPr>
              <w:t xml:space="preserve">Innowacje </w:t>
            </w:r>
            <w:r>
              <w:rPr>
                <w:rFonts w:ascii="Arial" w:hAnsi="Arial" w:cs="Arial"/>
                <w:i/>
              </w:rPr>
              <w:br/>
            </w:r>
            <w:r w:rsidRPr="008529B3">
              <w:rPr>
                <w:rFonts w:ascii="Arial" w:hAnsi="Arial" w:cs="Arial"/>
                <w:i/>
              </w:rPr>
              <w:t xml:space="preserve">w MŚP </w:t>
            </w:r>
            <w:r w:rsidRPr="008529B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8,5</w:t>
            </w:r>
            <w:r w:rsidRPr="008529B3">
              <w:rPr>
                <w:rFonts w:ascii="Arial" w:hAnsi="Arial" w:cs="Arial"/>
              </w:rPr>
              <w:t xml:space="preserve"> mln euro)</w:t>
            </w:r>
            <w:r w:rsidR="0020518B">
              <w:rPr>
                <w:rFonts w:ascii="Arial" w:hAnsi="Arial" w:cs="Arial"/>
              </w:rPr>
              <w:t xml:space="preserve"> na</w:t>
            </w:r>
            <w:r>
              <w:rPr>
                <w:rFonts w:ascii="Arial" w:hAnsi="Arial" w:cs="Arial"/>
              </w:rPr>
              <w:t xml:space="preserve"> nowe Działanie 3.5 dot. </w:t>
            </w:r>
            <w:r w:rsidRPr="00230BCA">
              <w:rPr>
                <w:rFonts w:ascii="Arial" w:hAnsi="Arial" w:cs="Arial"/>
              </w:rPr>
              <w:t>umiędzynarodowienia gospodarki regionu</w:t>
            </w:r>
            <w:r>
              <w:rPr>
                <w:rFonts w:ascii="Arial" w:hAnsi="Arial" w:cs="Arial"/>
              </w:rPr>
              <w:t xml:space="preserve"> (6,5 mln euro)</w:t>
            </w:r>
            <w:r w:rsidRPr="008529B3">
              <w:rPr>
                <w:rFonts w:ascii="Arial" w:hAnsi="Arial" w:cs="Arial"/>
              </w:rPr>
              <w:t xml:space="preserve"> oraz na nowe działanie 4.6 w zakresie wymiany kotłów 5 klasy emisji opalanych paliwem stałym (25 mln euro).</w:t>
            </w:r>
          </w:p>
          <w:p w:rsidR="008973A0" w:rsidRPr="008973A0" w:rsidRDefault="008973A0" w:rsidP="0020518B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  <w:b/>
              </w:rPr>
            </w:pPr>
            <w:r w:rsidRPr="008529B3">
              <w:rPr>
                <w:rFonts w:ascii="Arial" w:hAnsi="Arial" w:cs="Arial"/>
              </w:rPr>
              <w:t xml:space="preserve">Przesunięcie alokacji z działania 1.3 </w:t>
            </w:r>
            <w:r w:rsidRPr="008529B3">
              <w:rPr>
                <w:rFonts w:ascii="Arial" w:hAnsi="Arial" w:cs="Arial"/>
                <w:i/>
              </w:rPr>
              <w:t xml:space="preserve">Profesjonalizacja IOB </w:t>
            </w:r>
            <w:r w:rsidRPr="008529B3">
              <w:rPr>
                <w:rFonts w:ascii="Arial" w:hAnsi="Arial" w:cs="Arial"/>
              </w:rPr>
              <w:t xml:space="preserve">na nowe działanie 4.6 w </w:t>
            </w:r>
            <w:r w:rsidR="0020518B">
              <w:rPr>
                <w:rFonts w:ascii="Arial" w:hAnsi="Arial" w:cs="Arial"/>
              </w:rPr>
              <w:t>zakresie wymiany kotłów 5 klasy.</w:t>
            </w:r>
          </w:p>
        </w:tc>
      </w:tr>
      <w:tr w:rsidR="008973A0" w:rsidRPr="00230BCA" w:rsidTr="008973A0">
        <w:trPr>
          <w:trHeight w:val="2490"/>
        </w:trPr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269" w:type="dxa"/>
          </w:tcPr>
          <w:p w:rsidR="008973A0" w:rsidRPr="004E5784" w:rsidRDefault="008973A0" w:rsidP="004E5784">
            <w:pPr>
              <w:pStyle w:val="Nagwek1"/>
              <w:rPr>
                <w:color w:val="auto"/>
              </w:rPr>
            </w:pPr>
            <w:bookmarkStart w:id="2" w:name="_Toc522620487"/>
            <w:r w:rsidRPr="004E5784">
              <w:rPr>
                <w:color w:val="auto"/>
              </w:rPr>
              <w:t>Oś II Cyfrowe Śląskie</w:t>
            </w:r>
            <w:bookmarkEnd w:id="2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5F6E6C" w:rsidRDefault="008973A0" w:rsidP="005F6E6C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Wprowadzenie możliwości wsparcia nowych projektów z obszaru e-administracji na poziomie samorządu regionalnego (projekt INFOSMOG oraz projekt dot. rozwoju systemu informacyjnego dot. zarządzania terenami </w:t>
            </w:r>
            <w:proofErr w:type="spellStart"/>
            <w:r w:rsidRPr="00230BCA">
              <w:rPr>
                <w:rFonts w:ascii="Arial" w:hAnsi="Arial" w:cs="Arial"/>
              </w:rPr>
              <w:t>pogórniczymi</w:t>
            </w:r>
            <w:proofErr w:type="spellEnd"/>
            <w:r w:rsidRPr="00230B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230BCA">
              <w:rPr>
                <w:rFonts w:ascii="Arial" w:hAnsi="Arial" w:cs="Arial"/>
              </w:rPr>
              <w:t>w województwie śląskim) realizowanych w trybie pozakonkursowym</w:t>
            </w:r>
            <w:r>
              <w:rPr>
                <w:rFonts w:ascii="Arial" w:hAnsi="Arial" w:cs="Arial"/>
              </w:rPr>
              <w:t>/konkursowym</w:t>
            </w:r>
            <w:r w:rsidRPr="00230BCA">
              <w:rPr>
                <w:rFonts w:ascii="Arial" w:hAnsi="Arial" w:cs="Arial"/>
              </w:rPr>
              <w:t>.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3" w:name="_Toc522620488"/>
            <w:r w:rsidRPr="004E5784">
              <w:rPr>
                <w:color w:val="auto"/>
              </w:rPr>
              <w:t>Oś III Konkurencyjność MŚP</w:t>
            </w:r>
            <w:bookmarkEnd w:id="3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Dodanie nowego działania 3.5 na wsparcie promocji gospodarczej regionu (planowana ścieżka pozakonkursowa) oraz dofinansowania internacjonalizacji przedsiębiorstw (planowana ścieżka konkursowa).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Przesunięcie alokacji z działania </w:t>
            </w:r>
            <w:r w:rsidRPr="008529B3">
              <w:rPr>
                <w:rFonts w:ascii="Arial" w:hAnsi="Arial" w:cs="Arial"/>
              </w:rPr>
              <w:t xml:space="preserve">1.2 </w:t>
            </w:r>
            <w:r w:rsidRPr="008529B3">
              <w:rPr>
                <w:rFonts w:ascii="Arial" w:hAnsi="Arial" w:cs="Arial"/>
                <w:i/>
              </w:rPr>
              <w:t>Badania, rozwój i innowacje w przedsiębiorstwac</w:t>
            </w:r>
            <w:r>
              <w:rPr>
                <w:rFonts w:ascii="Arial" w:hAnsi="Arial" w:cs="Arial"/>
                <w:i/>
              </w:rPr>
              <w:t xml:space="preserve">h </w:t>
            </w:r>
            <w:r>
              <w:rPr>
                <w:rFonts w:ascii="Arial" w:hAnsi="Arial" w:cs="Arial"/>
              </w:rPr>
              <w:t>(6,5 mln euro)</w:t>
            </w:r>
            <w:r w:rsidRPr="00230BCA" w:rsidDel="00DF00E5">
              <w:rPr>
                <w:rFonts w:ascii="Arial" w:hAnsi="Arial" w:cs="Arial"/>
              </w:rPr>
              <w:t xml:space="preserve"> </w:t>
            </w:r>
            <w:r w:rsidRPr="00230BCA">
              <w:rPr>
                <w:rFonts w:ascii="Arial" w:hAnsi="Arial" w:cs="Arial"/>
              </w:rPr>
              <w:t>oraz z poddziałania 3.1.3 dot. wsparcia inkubatorów przedsiębiorcz</w:t>
            </w:r>
            <w:r>
              <w:rPr>
                <w:rFonts w:ascii="Arial" w:hAnsi="Arial" w:cs="Arial"/>
              </w:rPr>
              <w:t xml:space="preserve">ości (8 mln euro) na nowe Działanie 3.5 dot. </w:t>
            </w:r>
            <w:r w:rsidRPr="00230BCA">
              <w:rPr>
                <w:rFonts w:ascii="Arial" w:hAnsi="Arial" w:cs="Arial"/>
              </w:rPr>
              <w:t>umiędzynarodowienia gospodarki regionu</w:t>
            </w:r>
            <w:r>
              <w:rPr>
                <w:rFonts w:ascii="Arial" w:hAnsi="Arial" w:cs="Arial"/>
              </w:rPr>
              <w:t>, łączne przesunięcie 14,5 mln euro na nowe działanie.</w:t>
            </w:r>
            <w:r w:rsidRPr="00230BCA">
              <w:rPr>
                <w:rFonts w:ascii="Arial" w:hAnsi="Arial" w:cs="Arial"/>
              </w:rPr>
              <w:t xml:space="preserve"> </w:t>
            </w:r>
          </w:p>
          <w:p w:rsidR="008973A0" w:rsidRPr="006B2339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Zwiększenie środków na działaniu 3.2 </w:t>
            </w:r>
            <w:r w:rsidRPr="005F6E6C">
              <w:rPr>
                <w:rFonts w:ascii="Arial" w:hAnsi="Arial" w:cs="Arial"/>
                <w:i/>
              </w:rPr>
              <w:t>Innowacje w MŚP</w:t>
            </w:r>
            <w:r w:rsidRPr="006E28C0">
              <w:rPr>
                <w:rFonts w:ascii="Arial" w:hAnsi="Arial" w:cs="Arial"/>
              </w:rPr>
              <w:t xml:space="preserve"> o 8,5 mln </w:t>
            </w:r>
            <w:r>
              <w:rPr>
                <w:rFonts w:ascii="Arial" w:hAnsi="Arial" w:cs="Arial"/>
              </w:rPr>
              <w:t xml:space="preserve">euro </w:t>
            </w:r>
            <w:r w:rsidRPr="006E28C0">
              <w:rPr>
                <w:rFonts w:ascii="Arial" w:hAnsi="Arial" w:cs="Arial"/>
              </w:rPr>
              <w:t>w</w:t>
            </w:r>
            <w:r w:rsidR="0020518B">
              <w:rPr>
                <w:rFonts w:ascii="Arial" w:hAnsi="Arial" w:cs="Arial"/>
              </w:rPr>
              <w:t xml:space="preserve"> związku </w:t>
            </w:r>
            <w:r w:rsidRPr="00230BCA">
              <w:rPr>
                <w:rFonts w:ascii="Arial" w:hAnsi="Arial" w:cs="Arial"/>
              </w:rPr>
              <w:t xml:space="preserve">z przesunięciem alokacji z działania 1.2 </w:t>
            </w:r>
            <w:r w:rsidRPr="0074106D">
              <w:rPr>
                <w:rFonts w:ascii="Arial" w:hAnsi="Arial" w:cs="Arial"/>
              </w:rPr>
              <w:t>Badania, rozwój i innowacje w przedsiębiorstwach</w:t>
            </w:r>
            <w:r w:rsidRPr="00230BCA">
              <w:rPr>
                <w:rFonts w:ascii="Arial" w:hAnsi="Arial" w:cs="Arial"/>
              </w:rPr>
              <w:t>.</w:t>
            </w:r>
          </w:p>
        </w:tc>
      </w:tr>
      <w:tr w:rsidR="008973A0" w:rsidRPr="00230BCA" w:rsidTr="008973A0">
        <w:trPr>
          <w:trHeight w:val="2232"/>
        </w:trPr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4" w:name="_Toc522620489"/>
            <w:r w:rsidRPr="004E5784">
              <w:rPr>
                <w:color w:val="auto"/>
              </w:rPr>
              <w:t xml:space="preserve">Oś IV Efektywność energetyczna, odnawialne źródła energii </w:t>
            </w:r>
            <w:r w:rsidRPr="004E5784">
              <w:rPr>
                <w:color w:val="auto"/>
              </w:rPr>
              <w:br/>
              <w:t>i gospodarka niskoemisyjna</w:t>
            </w:r>
            <w:bookmarkEnd w:id="4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Doprecyzowanie zapisów w związku z ustaleniem zasad wdrażania instrumentów finansowych w działaniu 4.2 </w:t>
            </w:r>
            <w:r w:rsidRPr="005F6E6C">
              <w:rPr>
                <w:rFonts w:ascii="Arial" w:hAnsi="Arial" w:cs="Arial"/>
                <w:i/>
              </w:rPr>
              <w:t>Efektywność energetyczna i odnawialne źródła energii w mikro, małych i średnich przedsiębiorstwach</w:t>
            </w:r>
            <w:r w:rsidRPr="0074106D">
              <w:rPr>
                <w:rFonts w:ascii="Arial" w:hAnsi="Arial" w:cs="Arial"/>
              </w:rPr>
              <w:t>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Zwiększenie alokacji na poddziałanie 4.3.1 </w:t>
            </w:r>
            <w:r w:rsidRPr="005F6E6C">
              <w:rPr>
                <w:rFonts w:ascii="Arial" w:hAnsi="Arial" w:cs="Arial"/>
                <w:i/>
              </w:rPr>
              <w:t>Efektywność energetyczna i odnawialne źródła energii w infrastrukturze publicznej i sektorze mieszkaniowym – ZIT</w:t>
            </w:r>
            <w:r>
              <w:rPr>
                <w:rFonts w:ascii="Arial" w:hAnsi="Arial" w:cs="Arial"/>
              </w:rPr>
              <w:t xml:space="preserve"> o 9,6 mln euro </w:t>
            </w:r>
            <w:r w:rsidRPr="00230BCA">
              <w:rPr>
                <w:rFonts w:ascii="Arial" w:hAnsi="Arial" w:cs="Arial"/>
              </w:rPr>
              <w:t xml:space="preserve">w związku z przesunięciem alokacji z Poddziałania 3.1.1 </w:t>
            </w:r>
            <w:r w:rsidRPr="005F6E6C">
              <w:rPr>
                <w:rFonts w:ascii="Arial" w:hAnsi="Arial" w:cs="Arial"/>
                <w:i/>
              </w:rPr>
              <w:t xml:space="preserve">Tworzenie terenów inwestycyjnych na obszarach typu </w:t>
            </w:r>
            <w:proofErr w:type="spellStart"/>
            <w:r w:rsidRPr="005F6E6C">
              <w:rPr>
                <w:rFonts w:ascii="Arial" w:hAnsi="Arial" w:cs="Arial"/>
                <w:i/>
              </w:rPr>
              <w:t>brownfield</w:t>
            </w:r>
            <w:proofErr w:type="spellEnd"/>
            <w:r w:rsidRPr="005F6E6C">
              <w:rPr>
                <w:rFonts w:ascii="Arial" w:hAnsi="Arial" w:cs="Arial"/>
                <w:i/>
              </w:rPr>
              <w:t xml:space="preserve"> – ZIT </w:t>
            </w:r>
            <w:r w:rsidRPr="00230BCA">
              <w:rPr>
                <w:rFonts w:ascii="Arial" w:hAnsi="Arial" w:cs="Arial"/>
              </w:rPr>
              <w:t>na wniosek IP ZIT.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Wykreślenie spółdzielni i wspólnot mieszkaniowych z grup beneficjentów w działaniu 4.3 </w:t>
            </w:r>
            <w:r w:rsidRPr="005F6E6C">
              <w:rPr>
                <w:rFonts w:ascii="Arial" w:hAnsi="Arial" w:cs="Arial"/>
                <w:i/>
              </w:rPr>
              <w:t xml:space="preserve">Efektywność energetyczna </w:t>
            </w:r>
            <w:r w:rsidR="0020518B">
              <w:rPr>
                <w:rFonts w:ascii="Arial" w:hAnsi="Arial" w:cs="Arial"/>
                <w:i/>
              </w:rPr>
              <w:br/>
            </w:r>
            <w:r w:rsidRPr="005F6E6C">
              <w:rPr>
                <w:rFonts w:ascii="Arial" w:hAnsi="Arial" w:cs="Arial"/>
                <w:i/>
              </w:rPr>
              <w:t>i odnawialne źródła energii w infrastrukturze publicznej i sektorze mieszkaniowym</w:t>
            </w:r>
            <w:r w:rsidRPr="00230BCA">
              <w:rPr>
                <w:rFonts w:ascii="Arial" w:hAnsi="Arial" w:cs="Arial"/>
              </w:rPr>
              <w:t xml:space="preserve"> (w związku z uzgodnioną  z </w:t>
            </w:r>
            <w:proofErr w:type="spellStart"/>
            <w:r w:rsidRPr="00230BC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IiR</w:t>
            </w:r>
            <w:proofErr w:type="spellEnd"/>
            <w:r>
              <w:rPr>
                <w:rFonts w:ascii="Arial" w:hAnsi="Arial" w:cs="Arial"/>
              </w:rPr>
              <w:t xml:space="preserve"> demarkacją pomiędzy POIŚ </w:t>
            </w:r>
            <w:r w:rsidRPr="00230BCA">
              <w:rPr>
                <w:rFonts w:ascii="Arial" w:hAnsi="Arial" w:cs="Arial"/>
              </w:rPr>
              <w:t>a RPO WSL).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Usunięcie wsparcia dla pojazdów napędzanych wyłącznie silnikami diesla (w tym EURO 6) w dz. 4.5 - </w:t>
            </w:r>
            <w:r w:rsidRPr="005F6E6C">
              <w:rPr>
                <w:rFonts w:ascii="Arial" w:hAnsi="Arial" w:cs="Arial"/>
                <w:i/>
              </w:rPr>
              <w:t>Niskoemisyjny transport miejski</w:t>
            </w:r>
            <w:r w:rsidRPr="00230BCA">
              <w:rPr>
                <w:rFonts w:ascii="Arial" w:hAnsi="Arial" w:cs="Arial"/>
              </w:rPr>
              <w:t>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Wprowadzenie nowego typu projektu w ramach dz. 4.5 - </w:t>
            </w:r>
            <w:r w:rsidRPr="005F6E6C">
              <w:rPr>
                <w:rFonts w:ascii="Arial" w:hAnsi="Arial" w:cs="Arial"/>
                <w:i/>
              </w:rPr>
              <w:t>Niskoemisyjny transport miejski</w:t>
            </w:r>
            <w:r w:rsidRPr="00230BCA">
              <w:rPr>
                <w:rFonts w:ascii="Arial" w:hAnsi="Arial" w:cs="Arial"/>
              </w:rPr>
              <w:t>, umożliwiającego wsparcie budowy i przebudowy tras rowerowych. Wsparcie to daje możliwość realizacji planów województwa w ramach opracowywanej koncepcji rozwoju sieci tras rowerowych w regionie.</w:t>
            </w:r>
          </w:p>
          <w:p w:rsidR="008973A0" w:rsidRPr="00230BCA" w:rsidRDefault="008973A0" w:rsidP="00354F6F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Dodanie zapisów dla nowego działania 4.6 na wymianę kotłów 5 klasy emisji opalanych paliwem stałym (dopuszczalne są również urządzenia zgodne ze standardami </w:t>
            </w:r>
            <w:proofErr w:type="spellStart"/>
            <w:r w:rsidRPr="00230BCA">
              <w:rPr>
                <w:rFonts w:ascii="Arial" w:hAnsi="Arial" w:cs="Arial"/>
              </w:rPr>
              <w:t>ekoprojektu</w:t>
            </w:r>
            <w:proofErr w:type="spellEnd"/>
            <w:r w:rsidRPr="00230BCA">
              <w:rPr>
                <w:rFonts w:ascii="Arial" w:hAnsi="Arial" w:cs="Arial"/>
              </w:rPr>
              <w:t>) wraz z termomodernizacją oraz zastosowaniem i premiowaniem odnawialnych źródeł energii wraz z przesunięciem alokacji</w:t>
            </w:r>
            <w:r w:rsidR="00354F6F">
              <w:rPr>
                <w:rFonts w:ascii="Arial" w:hAnsi="Arial" w:cs="Arial"/>
              </w:rPr>
              <w:t xml:space="preserve"> w łącznej kwocie 43,2 mln euro.</w:t>
            </w:r>
          </w:p>
        </w:tc>
      </w:tr>
      <w:tr w:rsidR="008973A0" w:rsidRPr="00230BCA" w:rsidTr="008973A0">
        <w:trPr>
          <w:trHeight w:val="2405"/>
        </w:trPr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5" w:name="_Toc522620490"/>
            <w:r w:rsidRPr="004E5784">
              <w:rPr>
                <w:color w:val="auto"/>
              </w:rPr>
              <w:t xml:space="preserve">Oś V Ochrona środowiska </w:t>
            </w:r>
            <w:r w:rsidRPr="004E5784">
              <w:rPr>
                <w:color w:val="auto"/>
              </w:rPr>
              <w:br/>
              <w:t>i efektywne wykorzystanie zasobów</w:t>
            </w:r>
            <w:bookmarkEnd w:id="5"/>
          </w:p>
        </w:tc>
        <w:tc>
          <w:tcPr>
            <w:tcW w:w="12474" w:type="dxa"/>
          </w:tcPr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Zwiększenie alokacji</w:t>
            </w:r>
            <w:r>
              <w:rPr>
                <w:rFonts w:ascii="Arial" w:hAnsi="Arial" w:cs="Arial"/>
              </w:rPr>
              <w:t xml:space="preserve"> o 2 mln euro</w:t>
            </w:r>
            <w:r w:rsidRPr="00230BCA">
              <w:rPr>
                <w:rFonts w:ascii="Arial" w:hAnsi="Arial" w:cs="Arial"/>
              </w:rPr>
              <w:t xml:space="preserve"> dla działani</w:t>
            </w:r>
            <w:r>
              <w:rPr>
                <w:rFonts w:ascii="Arial" w:hAnsi="Arial" w:cs="Arial"/>
              </w:rPr>
              <w:t>a</w:t>
            </w:r>
            <w:r w:rsidRPr="00230BCA">
              <w:rPr>
                <w:rFonts w:ascii="Arial" w:hAnsi="Arial" w:cs="Arial"/>
              </w:rPr>
              <w:t xml:space="preserve"> 5.5 </w:t>
            </w:r>
            <w:r w:rsidRPr="00754031">
              <w:rPr>
                <w:rFonts w:ascii="Arial" w:hAnsi="Arial" w:cs="Arial"/>
                <w:i/>
              </w:rPr>
              <w:t>Wzmocnienie potencjału służb ratowniczych</w:t>
            </w:r>
            <w:r w:rsidRPr="00230BCA">
              <w:rPr>
                <w:rFonts w:ascii="Arial" w:hAnsi="Arial" w:cs="Arial"/>
              </w:rPr>
              <w:t xml:space="preserve"> (przesunięcie alokacji </w:t>
            </w:r>
            <w:r w:rsidR="005C50EF">
              <w:rPr>
                <w:rFonts w:ascii="Arial" w:hAnsi="Arial" w:cs="Arial"/>
              </w:rPr>
              <w:br/>
            </w:r>
            <w:r w:rsidRPr="00230BCA">
              <w:rPr>
                <w:rFonts w:ascii="Arial" w:hAnsi="Arial" w:cs="Arial"/>
              </w:rPr>
              <w:t xml:space="preserve">z działania 5.4 </w:t>
            </w:r>
            <w:r w:rsidRPr="00754031">
              <w:rPr>
                <w:rFonts w:ascii="Arial" w:hAnsi="Arial" w:cs="Arial"/>
                <w:i/>
              </w:rPr>
              <w:t>Różnorodność biologiczna</w:t>
            </w:r>
            <w:r w:rsidRPr="0074106D">
              <w:rPr>
                <w:rFonts w:ascii="Arial" w:hAnsi="Arial" w:cs="Arial"/>
              </w:rPr>
              <w:t xml:space="preserve">). 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Dodanie zapisów w działaniu 5.2 </w:t>
            </w:r>
            <w:r w:rsidRPr="00754031">
              <w:rPr>
                <w:rFonts w:ascii="Arial" w:hAnsi="Arial" w:cs="Arial"/>
                <w:i/>
              </w:rPr>
              <w:t>Gospodarka odpadami</w:t>
            </w:r>
            <w:r w:rsidRPr="00230BCA">
              <w:rPr>
                <w:rFonts w:ascii="Arial" w:hAnsi="Arial" w:cs="Arial"/>
              </w:rPr>
              <w:t xml:space="preserve"> na dofinansowanie punktów selektywnej zbiórki odpadów komunalnych.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Wykreślenie limitu 5 mln euro kosztów całkowitych dla pojedynczego projektu w działaniu 5.3 </w:t>
            </w:r>
            <w:r w:rsidRPr="00754031">
              <w:rPr>
                <w:rFonts w:ascii="Arial" w:hAnsi="Arial" w:cs="Arial"/>
                <w:i/>
              </w:rPr>
              <w:t>Dziedzictwo kulturowe</w:t>
            </w:r>
            <w:r w:rsidRPr="0074106D">
              <w:rPr>
                <w:rFonts w:ascii="Arial" w:hAnsi="Arial" w:cs="Arial"/>
              </w:rPr>
              <w:t>.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6" w:name="_Toc522620491"/>
            <w:r w:rsidRPr="004E5784">
              <w:rPr>
                <w:color w:val="auto"/>
              </w:rPr>
              <w:t>Oś VI Transport</w:t>
            </w:r>
            <w:bookmarkEnd w:id="6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Rozszerzenie zakresu wsparcia o drogi powiatowe i gminne (konieczne bezpośrednie połączenia z siecią TEN-T, przejściami granicznymi, portami lotniczymi, terminalami towarowymi, centrami lub platformami logistycznymi </w:t>
            </w:r>
            <w:r>
              <w:rPr>
                <w:rFonts w:ascii="Arial" w:hAnsi="Arial" w:cs="Arial"/>
              </w:rPr>
              <w:t xml:space="preserve">lub </w:t>
            </w:r>
            <w:r w:rsidR="005C50EF">
              <w:rPr>
                <w:rFonts w:ascii="Arial" w:hAnsi="Arial" w:cs="Arial"/>
              </w:rPr>
              <w:br/>
            </w:r>
            <w:r w:rsidRPr="00230BCA">
              <w:rPr>
                <w:rFonts w:ascii="Arial" w:hAnsi="Arial" w:cs="Arial"/>
              </w:rPr>
              <w:t xml:space="preserve">z istniejącymi lub nowymi terenami inwestycyjnymi). 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Dodanie zapisów dla nowego typu projektu w działaniu 6.2 </w:t>
            </w:r>
            <w:r w:rsidRPr="00754031">
              <w:rPr>
                <w:rFonts w:ascii="Arial" w:hAnsi="Arial" w:cs="Arial"/>
                <w:i/>
              </w:rPr>
              <w:t>Transport kolejowy</w:t>
            </w:r>
            <w:r w:rsidRPr="00230BCA">
              <w:rPr>
                <w:rFonts w:ascii="Arial" w:hAnsi="Arial" w:cs="Arial"/>
              </w:rPr>
              <w:t xml:space="preserve"> dot. budowy, rozbudowy, modernizacji infrastruktury do obsługi i serwisowania taboru kolejowego oraz dodanie nowego typu beneficjenta.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Rozszerzenie zakresu wsparcia w działaniu 6.2 </w:t>
            </w:r>
            <w:r w:rsidRPr="00754031">
              <w:rPr>
                <w:rFonts w:ascii="Arial" w:hAnsi="Arial" w:cs="Arial"/>
                <w:i/>
              </w:rPr>
              <w:t>Transport kolejowy</w:t>
            </w:r>
            <w:r w:rsidRPr="00230BCA">
              <w:rPr>
                <w:rFonts w:ascii="Arial" w:hAnsi="Arial" w:cs="Arial"/>
              </w:rPr>
              <w:t xml:space="preserve"> o finansowanie przygotowania dokumentacji projektowej i przetargowej dla budowy i przebudowy li</w:t>
            </w:r>
            <w:r w:rsidR="005C50EF">
              <w:rPr>
                <w:rFonts w:ascii="Arial" w:hAnsi="Arial" w:cs="Arial"/>
              </w:rPr>
              <w:t>niowej infrastruktury kolejowej</w:t>
            </w:r>
            <w:r w:rsidRPr="00230BCA">
              <w:rPr>
                <w:rFonts w:ascii="Arial" w:hAnsi="Arial" w:cs="Arial"/>
              </w:rPr>
              <w:t>.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7" w:name="_Toc522620492"/>
            <w:r w:rsidRPr="004E5784">
              <w:rPr>
                <w:color w:val="auto"/>
              </w:rPr>
              <w:t>Oś VII Rynek pracy</w:t>
            </w:r>
            <w:bookmarkEnd w:id="7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74106D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Rozszerzenie wsparcia na nowe grupy docelowe (Działanie 7.1; 7.2; 7.3; 7.5), tj. osoby pracujące (ubogie pracujące, osoby zatrudnione na umowach krótkoterminowych oraz pracujący w ramach umów cywilno-prawnych), reemigranci, imigranci, osoby odchodzące z rolnictwa i ich rodziny.</w:t>
            </w:r>
          </w:p>
          <w:p w:rsidR="008973A0" w:rsidRPr="005F6E6C" w:rsidRDefault="008973A0" w:rsidP="005F6E6C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Zmiana sposobu pomiaru wskaźnika dotyczącego </w:t>
            </w:r>
            <w:r w:rsidRPr="0074106D">
              <w:rPr>
                <w:rFonts w:ascii="Arial" w:hAnsi="Arial" w:cs="Arial"/>
              </w:rPr>
              <w:t>pomiaru efektywności zatrudnieniowej</w:t>
            </w:r>
            <w:r w:rsidRPr="00230BCA">
              <w:rPr>
                <w:rFonts w:ascii="Arial" w:hAnsi="Arial" w:cs="Arial"/>
              </w:rPr>
              <w:t xml:space="preserve"> - projekty w ramach priorytetu inwestycyjnego będą realizowane w oparciu o kryteria minimalnej efektywności zatrudnieniowej mierzone według metodologii nieuwzględniającej umów cywilno-prawnych.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8" w:name="_Toc522620493"/>
            <w:r w:rsidRPr="004E5784">
              <w:rPr>
                <w:color w:val="auto"/>
              </w:rPr>
              <w:t>Oś VIII Regionalne kadry gospodarki opartej na wiedzy</w:t>
            </w:r>
            <w:bookmarkEnd w:id="8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lastRenderedPageBreak/>
              <w:t>Dodanie zapisów w zakresie możliwości opracowywania programów zdrowotnych w zakresie chorób będących istotnym problemem regionu.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Dodanie zapisów nt. możliwości opracowania i wdrożenia programów, ukierunkowanych na eliminowanie zdrowotnych czynników ryzyka w miejscu pracy, z uwzględnieniem działań szkoleniowych (umożliwienie realizacji wsparcia zarówno </w:t>
            </w:r>
            <w:r w:rsidR="005C50EF">
              <w:rPr>
                <w:rFonts w:ascii="Arial" w:hAnsi="Arial" w:cs="Arial"/>
              </w:rPr>
              <w:br/>
            </w:r>
            <w:r w:rsidRPr="00230BCA">
              <w:rPr>
                <w:rFonts w:ascii="Arial" w:hAnsi="Arial" w:cs="Arial"/>
              </w:rPr>
              <w:t xml:space="preserve">w formule RPZ, skoncentrowanego na wsparciu medycznym o charakterze regionalnym w skali województwa, w formule </w:t>
            </w:r>
            <w:r w:rsidRPr="00230BCA">
              <w:rPr>
                <w:rFonts w:ascii="Arial" w:hAnsi="Arial" w:cs="Arial"/>
              </w:rPr>
              <w:lastRenderedPageBreak/>
              <w:t>działań szkoleniowo-doradczych dedykowanych konkretnym przedsiębiorcom lub w formule mieszanej).</w:t>
            </w:r>
          </w:p>
          <w:p w:rsidR="008973A0" w:rsidRPr="005F6E6C" w:rsidRDefault="008973A0" w:rsidP="005F6E6C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Wprowadzenie możliwości realizacji projektu realizow</w:t>
            </w:r>
            <w:r w:rsidR="005C50EF">
              <w:rPr>
                <w:rFonts w:ascii="Arial" w:hAnsi="Arial" w:cs="Arial"/>
              </w:rPr>
              <w:t xml:space="preserve">anego w trybie pozakonkursowym </w:t>
            </w:r>
            <w:r w:rsidRPr="00230BCA">
              <w:rPr>
                <w:rFonts w:ascii="Arial" w:hAnsi="Arial" w:cs="Arial"/>
              </w:rPr>
              <w:t xml:space="preserve">w ramach Działania 8.3 </w:t>
            </w:r>
            <w:r w:rsidRPr="00754031">
              <w:rPr>
                <w:rFonts w:ascii="Arial" w:hAnsi="Arial" w:cs="Arial"/>
                <w:i/>
              </w:rPr>
              <w:t>Poprawa dostępu do profilaktyki, diagnostyki i rehabilitacji leczniczej ułatwiającej pozostanie w zatrudnieniu i powrót do pracy</w:t>
            </w:r>
            <w:r w:rsidRPr="0074106D">
              <w:rPr>
                <w:rFonts w:ascii="Arial" w:hAnsi="Arial" w:cs="Arial"/>
              </w:rPr>
              <w:t xml:space="preserve"> </w:t>
            </w:r>
            <w:r w:rsidR="005C50EF">
              <w:rPr>
                <w:rFonts w:ascii="Arial" w:hAnsi="Arial" w:cs="Arial"/>
              </w:rPr>
              <w:br/>
            </w:r>
            <w:r w:rsidRPr="0074106D">
              <w:rPr>
                <w:rFonts w:ascii="Arial" w:hAnsi="Arial" w:cs="Arial"/>
              </w:rPr>
              <w:t xml:space="preserve">- </w:t>
            </w:r>
            <w:r w:rsidRPr="00230BCA">
              <w:rPr>
                <w:rFonts w:ascii="Arial" w:hAnsi="Arial" w:cs="Arial"/>
              </w:rPr>
              <w:t xml:space="preserve">dla opracowania programów zdrowotnych  zgodnie z ogólną zasadą  wskazywania Samorządu Województwa </w:t>
            </w:r>
            <w:r w:rsidR="005C50EF">
              <w:rPr>
                <w:rFonts w:ascii="Arial" w:hAnsi="Arial" w:cs="Arial"/>
              </w:rPr>
              <w:br/>
            </w:r>
            <w:r w:rsidRPr="00230BCA">
              <w:rPr>
                <w:rFonts w:ascii="Arial" w:hAnsi="Arial" w:cs="Arial"/>
              </w:rPr>
              <w:t>w katalogu  beneficjentów w RPO WSL.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30BCA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9" w:name="_Toc522620494"/>
            <w:r w:rsidRPr="004E5784">
              <w:rPr>
                <w:color w:val="auto"/>
              </w:rPr>
              <w:t>Oś IX Włączenie społeczne</w:t>
            </w:r>
            <w:bookmarkEnd w:id="9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5F6E6C" w:rsidRDefault="008973A0" w:rsidP="005F6E6C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Przesunięcie środków </w:t>
            </w:r>
            <w:r>
              <w:rPr>
                <w:rFonts w:ascii="Arial" w:hAnsi="Arial" w:cs="Arial"/>
              </w:rPr>
              <w:t xml:space="preserve">w kwocie 20 mln euro </w:t>
            </w:r>
            <w:r w:rsidRPr="00230BCA">
              <w:rPr>
                <w:rFonts w:ascii="Arial" w:hAnsi="Arial" w:cs="Arial"/>
              </w:rPr>
              <w:t xml:space="preserve">z Działania 9.1 </w:t>
            </w:r>
            <w:r w:rsidRPr="00754031">
              <w:rPr>
                <w:rFonts w:ascii="Arial" w:hAnsi="Arial" w:cs="Arial"/>
                <w:i/>
              </w:rPr>
              <w:t>Aktywna integracja</w:t>
            </w:r>
            <w:r w:rsidRPr="00230BCA">
              <w:rPr>
                <w:rFonts w:ascii="Arial" w:hAnsi="Arial" w:cs="Arial"/>
              </w:rPr>
              <w:t xml:space="preserve"> na Działanie 9.2 </w:t>
            </w:r>
            <w:r w:rsidRPr="00754031">
              <w:rPr>
                <w:rFonts w:ascii="Arial" w:hAnsi="Arial" w:cs="Arial"/>
                <w:i/>
              </w:rPr>
              <w:t>Dostępne i efektywne usługi społeczne i zdrowotne</w:t>
            </w:r>
            <w:r w:rsidRPr="00230BCA">
              <w:rPr>
                <w:rFonts w:ascii="Arial" w:hAnsi="Arial" w:cs="Arial"/>
              </w:rPr>
              <w:t>.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10" w:name="_Toc522620495"/>
            <w:r w:rsidRPr="004E5784">
              <w:rPr>
                <w:color w:val="auto"/>
              </w:rPr>
              <w:t xml:space="preserve">Oś X Rewitalizacja oraz infrastruktura społeczna </w:t>
            </w:r>
            <w:r w:rsidRPr="004E5784">
              <w:rPr>
                <w:color w:val="auto"/>
              </w:rPr>
              <w:br/>
              <w:t>i zdrowotna</w:t>
            </w:r>
            <w:bookmarkEnd w:id="10"/>
          </w:p>
        </w:tc>
        <w:tc>
          <w:tcPr>
            <w:tcW w:w="12474" w:type="dxa"/>
          </w:tcPr>
          <w:p w:rsidR="008973A0" w:rsidRPr="005C50EF" w:rsidRDefault="008973A0" w:rsidP="005C50EF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Doprecyzowanie typów beneficjentów w Działaniu 10.1 </w:t>
            </w:r>
            <w:r w:rsidRPr="00754031">
              <w:rPr>
                <w:rFonts w:ascii="Arial" w:hAnsi="Arial" w:cs="Arial"/>
                <w:i/>
              </w:rPr>
              <w:t>Infrastruktura ochrony zdrowia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230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11" w:name="_Toc522620496"/>
            <w:r w:rsidRPr="004E5784">
              <w:rPr>
                <w:color w:val="auto"/>
              </w:rPr>
              <w:t>Oś XI Wzmocnienie potencjału edukacyjnego</w:t>
            </w:r>
            <w:bookmarkEnd w:id="11"/>
          </w:p>
        </w:tc>
        <w:tc>
          <w:tcPr>
            <w:tcW w:w="12474" w:type="dxa"/>
          </w:tcPr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Wprowadzenie możliwości realizacji projektu realizowanego w trybie pozakonkursowym w ramach Działania 11.2 </w:t>
            </w:r>
            <w:r w:rsidRPr="006B5EC5">
              <w:rPr>
                <w:rFonts w:ascii="Arial" w:hAnsi="Arial" w:cs="Arial"/>
                <w:i/>
              </w:rPr>
              <w:t xml:space="preserve">Dostosowanie oferty kształcenia zawodowego do potrzeb lokalnego rynku pracy – </w:t>
            </w:r>
            <w:r w:rsidRPr="00EB2008">
              <w:rPr>
                <w:rFonts w:ascii="Arial" w:hAnsi="Arial" w:cs="Arial"/>
              </w:rPr>
              <w:t>kształcenie zawodowe uczniów, którego</w:t>
            </w:r>
            <w:r w:rsidRPr="00230BCA">
              <w:rPr>
                <w:rFonts w:ascii="Arial" w:hAnsi="Arial" w:cs="Arial"/>
              </w:rPr>
              <w:t xml:space="preserve"> celem ma być lepsze dostosowanie ofert edukacyjnych szkół o profilu zawodowym z regionu do kluczowych potrzeb gospodarki, poprzez wypracowanie i budowanie trwałych mechanizmów i sieci współpracy szkół z pracodawcami oraz zwiększenie dostępu uczniów do staży i praktyk zawodowych w województwie śląskim do końca 2021 roku.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Dopuszczenie możliwości realizacji projektów zakładających wyłącznie poprawę jakości wychowania przedszkolnego, bez konieczności tworzenia nowych miejsc wychowania przedszkolnego w gminach, w których poziom upowszechnienia edukacji przedszkolnej jest niższy od wskazanego w UP na rok 2023 (wartość pośrednia na rok 2023 – 88,82%), m.in. poprzez zastosowanie preferencji w ogłaszanych konkursach.</w:t>
            </w:r>
          </w:p>
          <w:p w:rsidR="008973A0" w:rsidRPr="00CC6709" w:rsidRDefault="008973A0" w:rsidP="00CC6709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lastRenderedPageBreak/>
              <w:t xml:space="preserve">Dodanie nowego typu operacji w Działaniu 11.2 </w:t>
            </w:r>
            <w:r w:rsidRPr="00EB2008">
              <w:rPr>
                <w:rFonts w:ascii="Arial" w:hAnsi="Arial" w:cs="Arial"/>
                <w:i/>
              </w:rPr>
              <w:t>Dostosowanie oferty kształcenia zawodowego do potrzeb lokalnego rynku pracy</w:t>
            </w:r>
            <w:r w:rsidRPr="00230BCA">
              <w:rPr>
                <w:rFonts w:ascii="Arial" w:hAnsi="Arial" w:cs="Arial"/>
              </w:rPr>
              <w:t xml:space="preserve"> </w:t>
            </w:r>
            <w:r w:rsidRPr="0074106D">
              <w:rPr>
                <w:rFonts w:ascii="Arial" w:hAnsi="Arial" w:cs="Arial"/>
              </w:rPr>
              <w:t xml:space="preserve">– kształcenie zawodowe uczniów, </w:t>
            </w:r>
            <w:r w:rsidRPr="00230BCA">
              <w:rPr>
                <w:rFonts w:ascii="Arial" w:hAnsi="Arial" w:cs="Arial"/>
              </w:rPr>
              <w:t>dotyczącego kształtowania kompetencji kluczowych lub umiejętności uniwersalnych niezbędnych na rynku pracy.</w:t>
            </w:r>
          </w:p>
        </w:tc>
      </w:tr>
      <w:tr w:rsidR="008973A0" w:rsidRPr="00230BCA" w:rsidTr="008973A0">
        <w:trPr>
          <w:trHeight w:val="2090"/>
        </w:trPr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5C50EF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8973A0" w:rsidRPr="00230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12" w:name="_Toc522620497"/>
            <w:r w:rsidRPr="004E5784">
              <w:rPr>
                <w:color w:val="auto"/>
              </w:rPr>
              <w:t>Zmiany horyzontalne</w:t>
            </w:r>
            <w:bookmarkEnd w:id="12"/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Wprowadzenie zapisów o możliwości przesunięcia środków dedykowanych OSI Bytom na miasta wymagające rewitalizacji zgodnie z zapisami Umowy Partnerstwa, Strategii Rozwoju Województwa Śląskiego oraz Planu Zagospodarowania Przestrzennego Województwa Śląskiego w razie zagrożenia utratą środków.</w:t>
            </w:r>
          </w:p>
          <w:p w:rsidR="008973A0" w:rsidRPr="00230BCA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Uzupełnienie katalogu beneficjentów o związek metropolitalny (GZM).</w:t>
            </w:r>
          </w:p>
          <w:p w:rsidR="008973A0" w:rsidRPr="00857107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 xml:space="preserve">Uelastycznienie zapisów na rzecz odejścia od ścisłego powiązania projektów EFS, realizowanych w instrumencie ZIT/RIT z rewitalizacją (wybrane Działania OP VII, VIII, IX </w:t>
            </w:r>
            <w:r w:rsidRPr="00857107">
              <w:rPr>
                <w:rFonts w:ascii="Arial" w:hAnsi="Arial" w:cs="Arial"/>
              </w:rPr>
              <w:t>i XI).</w:t>
            </w:r>
          </w:p>
          <w:p w:rsidR="008973A0" w:rsidRPr="00857107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857107">
              <w:rPr>
                <w:rFonts w:ascii="Arial" w:hAnsi="Arial" w:cs="Arial"/>
              </w:rPr>
              <w:t>Przesunięcia między kategoriami interwencji wynikające z dostosowania do zmian alokacji, typów dofinansowanych projektów, zmian w zakresie interwencji w Osiach (Oś 1, 2, 3, 4, 5, 6, 9,13).</w:t>
            </w:r>
          </w:p>
          <w:p w:rsidR="008973A0" w:rsidRPr="00857107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857107">
              <w:rPr>
                <w:rFonts w:ascii="Arial" w:hAnsi="Arial" w:cs="Arial"/>
              </w:rPr>
              <w:t xml:space="preserve">Modyfikacja w kwotach rezerwy wykonania – zwiększenie kwoty rezerwy wykonania </w:t>
            </w:r>
            <w:r w:rsidRPr="00857107">
              <w:rPr>
                <w:rFonts w:ascii="Arial" w:hAnsi="Arial" w:cs="Arial"/>
              </w:rPr>
              <w:br/>
              <w:t>w OP  III, IV, VII, IX, XI i XII</w:t>
            </w:r>
            <w:r>
              <w:rPr>
                <w:rFonts w:ascii="Arial" w:hAnsi="Arial" w:cs="Arial"/>
              </w:rPr>
              <w:t>,</w:t>
            </w:r>
            <w:r w:rsidRPr="00857107">
              <w:rPr>
                <w:rFonts w:ascii="Arial" w:hAnsi="Arial" w:cs="Arial"/>
              </w:rPr>
              <w:t xml:space="preserve"> zmniejszenie kwoty rezerwy w OP I,  II, V, VI, VIII i X.</w:t>
            </w:r>
          </w:p>
          <w:p w:rsidR="008973A0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857107">
              <w:rPr>
                <w:rFonts w:ascii="Arial" w:hAnsi="Arial" w:cs="Arial"/>
              </w:rPr>
              <w:t xml:space="preserve">Wprowadzenie możliwości realizacji projektów pozakonkursowych w  ramach Osi finansowanych z EFS, tj. OP VIII </w:t>
            </w:r>
            <w:r w:rsidRPr="00CC6709">
              <w:rPr>
                <w:rFonts w:ascii="Arial" w:hAnsi="Arial" w:cs="Arial"/>
                <w:i/>
              </w:rPr>
              <w:t>Regionalne kadry gospodarki opartej na wiedzy</w:t>
            </w:r>
            <w:r w:rsidRPr="00857107">
              <w:rPr>
                <w:rFonts w:ascii="Arial" w:hAnsi="Arial" w:cs="Arial"/>
              </w:rPr>
              <w:t xml:space="preserve">, OP XI </w:t>
            </w:r>
            <w:r w:rsidRPr="00CC6709">
              <w:rPr>
                <w:rFonts w:ascii="Arial" w:hAnsi="Arial" w:cs="Arial"/>
                <w:i/>
              </w:rPr>
              <w:t>Wzmocnienie potencjału edukacyjnego</w:t>
            </w:r>
            <w:r w:rsidRPr="00857107">
              <w:rPr>
                <w:rFonts w:ascii="Arial" w:hAnsi="Arial" w:cs="Arial"/>
              </w:rPr>
              <w:t xml:space="preserve">, jako uzupełnienie </w:t>
            </w:r>
            <w:r w:rsidR="005C50EF">
              <w:rPr>
                <w:rFonts w:ascii="Arial" w:hAnsi="Arial" w:cs="Arial"/>
              </w:rPr>
              <w:br/>
            </w:r>
            <w:r w:rsidRPr="00857107">
              <w:rPr>
                <w:rFonts w:ascii="Arial" w:hAnsi="Arial" w:cs="Arial"/>
              </w:rPr>
              <w:t>do wiodącej ścieżki</w:t>
            </w:r>
            <w:r w:rsidRPr="00230BCA">
              <w:rPr>
                <w:rFonts w:ascii="Arial" w:hAnsi="Arial" w:cs="Arial"/>
              </w:rPr>
              <w:t xml:space="preserve"> konkursowej</w:t>
            </w:r>
            <w:r>
              <w:rPr>
                <w:rFonts w:ascii="Arial" w:hAnsi="Arial" w:cs="Arial"/>
              </w:rPr>
              <w:t>.</w:t>
            </w:r>
          </w:p>
          <w:p w:rsidR="008973A0" w:rsidRPr="00230BCA" w:rsidRDefault="008973A0" w:rsidP="00CC6709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Priorytetyzacja</w:t>
            </w:r>
            <w:proofErr w:type="spellEnd"/>
            <w:r>
              <w:rPr>
                <w:rFonts w:ascii="Arial" w:hAnsi="Arial" w:cs="Arial"/>
              </w:rPr>
              <w:t xml:space="preserve"> / Podkreślenie ważności projektów w ramach inicjatywy </w:t>
            </w:r>
            <w:proofErr w:type="spellStart"/>
            <w:r>
              <w:rPr>
                <w:rFonts w:ascii="Arial" w:hAnsi="Arial" w:cs="Arial"/>
              </w:rPr>
              <w:t>Coal</w:t>
            </w:r>
            <w:proofErr w:type="spellEnd"/>
            <w:r>
              <w:rPr>
                <w:rFonts w:ascii="Arial" w:hAnsi="Arial" w:cs="Arial"/>
              </w:rPr>
              <w:t xml:space="preserve"> Regions in </w:t>
            </w:r>
            <w:proofErr w:type="spellStart"/>
            <w:r>
              <w:rPr>
                <w:rFonts w:ascii="Arial" w:hAnsi="Arial" w:cs="Arial"/>
              </w:rPr>
              <w:t>Transition</w:t>
            </w:r>
            <w:proofErr w:type="spellEnd"/>
            <w:r>
              <w:rPr>
                <w:rFonts w:ascii="Arial" w:hAnsi="Arial" w:cs="Arial"/>
              </w:rPr>
              <w:t xml:space="preserve"> (w OP VII, VIII, IX, XI, wybrane Działania OP </w:t>
            </w:r>
            <w:r w:rsidRPr="00CC6709">
              <w:rPr>
                <w:rFonts w:ascii="Arial" w:hAnsi="Arial" w:cs="Arial"/>
              </w:rPr>
              <w:t>I, II, III,</w:t>
            </w:r>
            <w:r>
              <w:rPr>
                <w:rFonts w:ascii="Arial" w:hAnsi="Arial" w:cs="Arial"/>
              </w:rPr>
              <w:t xml:space="preserve"> V).  </w:t>
            </w:r>
          </w:p>
        </w:tc>
      </w:tr>
      <w:tr w:rsidR="008973A0" w:rsidRPr="00230BCA" w:rsidTr="008973A0">
        <w:tc>
          <w:tcPr>
            <w:tcW w:w="567" w:type="dxa"/>
          </w:tcPr>
          <w:p w:rsidR="004E5784" w:rsidRDefault="004E5784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973A0" w:rsidRPr="00230BCA" w:rsidRDefault="005C50EF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8973A0" w:rsidRPr="00230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9" w:type="dxa"/>
          </w:tcPr>
          <w:p w:rsidR="008973A0" w:rsidRPr="004E5784" w:rsidRDefault="008973A0" w:rsidP="0000038E">
            <w:pPr>
              <w:pStyle w:val="Nagwek1"/>
              <w:rPr>
                <w:color w:val="auto"/>
              </w:rPr>
            </w:pPr>
            <w:bookmarkStart w:id="13" w:name="_Toc522620498"/>
            <w:r w:rsidRPr="004E5784">
              <w:rPr>
                <w:color w:val="auto"/>
              </w:rPr>
              <w:t>Zmiany we wskaźnikach</w:t>
            </w:r>
            <w:bookmarkEnd w:id="13"/>
            <w:r w:rsidRPr="004E5784">
              <w:rPr>
                <w:color w:val="auto"/>
              </w:rPr>
              <w:t xml:space="preserve"> </w:t>
            </w:r>
          </w:p>
          <w:p w:rsidR="008973A0" w:rsidRPr="00230BCA" w:rsidRDefault="008973A0" w:rsidP="00230BC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</w:tcPr>
          <w:p w:rsidR="008973A0" w:rsidRPr="000E2021" w:rsidRDefault="008973A0" w:rsidP="0074106D">
            <w:pPr>
              <w:numPr>
                <w:ilvl w:val="0"/>
                <w:numId w:val="3"/>
              </w:numPr>
              <w:spacing w:before="120" w:after="120" w:line="259" w:lineRule="auto"/>
              <w:ind w:left="374" w:hanging="374"/>
              <w:rPr>
                <w:rFonts w:ascii="Arial" w:hAnsi="Arial" w:cs="Arial"/>
              </w:rPr>
            </w:pPr>
            <w:r w:rsidRPr="00230BCA">
              <w:rPr>
                <w:rFonts w:ascii="Arial" w:hAnsi="Arial" w:cs="Arial"/>
              </w:rPr>
              <w:t>Zmiany wynikające z przeprowadzonych badań ewaluacyjnych (obniżenie, zwiększenie wartości wskaźników), wprowadzonych nowych działań, przesunięć pomiędzy działaniami i w</w:t>
            </w:r>
            <w:r>
              <w:rPr>
                <w:rFonts w:ascii="Arial" w:hAnsi="Arial" w:cs="Arial"/>
              </w:rPr>
              <w:t> </w:t>
            </w:r>
            <w:r w:rsidRPr="00230BCA">
              <w:rPr>
                <w:rFonts w:ascii="Arial" w:hAnsi="Arial" w:cs="Arial"/>
              </w:rPr>
              <w:t>ich obrębie, spełnieniu warunku ex-</w:t>
            </w:r>
            <w:proofErr w:type="spellStart"/>
            <w:r w:rsidRPr="00230BCA">
              <w:rPr>
                <w:rFonts w:ascii="Arial" w:hAnsi="Arial" w:cs="Arial"/>
              </w:rPr>
              <w:t>ante</w:t>
            </w:r>
            <w:proofErr w:type="spellEnd"/>
            <w:r w:rsidRPr="00230BCA">
              <w:rPr>
                <w:rFonts w:ascii="Arial" w:hAnsi="Arial" w:cs="Arial"/>
              </w:rPr>
              <w:t xml:space="preserve"> (RIS, transport, odpady), dodanie nowych wskaźników zgodnie z zaleceniami Ministerstwa Inwestycji i Rozwoju, zmiany wskaźników finansowych do ram wykonania dla Osi Priorytetowych</w:t>
            </w:r>
            <w:r>
              <w:rPr>
                <w:rFonts w:ascii="Arial" w:hAnsi="Arial" w:cs="Arial"/>
              </w:rPr>
              <w:t xml:space="preserve"> 1, 2, 3, 4, 5, 6 i 10</w:t>
            </w:r>
            <w:r w:rsidRPr="00230BCA">
              <w:rPr>
                <w:rFonts w:ascii="Arial" w:hAnsi="Arial" w:cs="Arial"/>
              </w:rPr>
              <w:t>, wynikające ze zaktualizowanej metodologii wyliczania zasady n+3, a także poprawki techniczne wynikające z przyjętych wytycznych, korekty metodologii obliczania wartości docelowych wskaźników.</w:t>
            </w:r>
          </w:p>
        </w:tc>
      </w:tr>
    </w:tbl>
    <w:p w:rsidR="007820B2" w:rsidRPr="00230BCA" w:rsidRDefault="007820B2" w:rsidP="00230BCA">
      <w:pPr>
        <w:rPr>
          <w:rFonts w:ascii="Arial" w:hAnsi="Arial" w:cs="Arial"/>
        </w:rPr>
      </w:pPr>
    </w:p>
    <w:sectPr w:rsidR="007820B2" w:rsidRPr="00230BCA" w:rsidSect="008973A0">
      <w:footerReference w:type="default" r:id="rId10"/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2F" w:rsidRDefault="0046702F" w:rsidP="0033297A">
      <w:pPr>
        <w:spacing w:after="0" w:line="240" w:lineRule="auto"/>
      </w:pPr>
      <w:r>
        <w:separator/>
      </w:r>
    </w:p>
  </w:endnote>
  <w:endnote w:type="continuationSeparator" w:id="0">
    <w:p w:rsidR="0046702F" w:rsidRDefault="0046702F" w:rsidP="0033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265404"/>
      <w:docPartObj>
        <w:docPartGallery w:val="Page Numbers (Bottom of Page)"/>
        <w:docPartUnique/>
      </w:docPartObj>
    </w:sdtPr>
    <w:sdtEndPr/>
    <w:sdtContent>
      <w:p w:rsidR="00230BCA" w:rsidRDefault="00230B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A86">
          <w:rPr>
            <w:noProof/>
          </w:rPr>
          <w:t>1</w:t>
        </w:r>
        <w:r>
          <w:fldChar w:fldCharType="end"/>
        </w:r>
      </w:p>
    </w:sdtContent>
  </w:sdt>
  <w:p w:rsidR="00230BCA" w:rsidRDefault="00230B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2F" w:rsidRDefault="0046702F" w:rsidP="0033297A">
      <w:pPr>
        <w:spacing w:after="0" w:line="240" w:lineRule="auto"/>
      </w:pPr>
      <w:r>
        <w:separator/>
      </w:r>
    </w:p>
  </w:footnote>
  <w:footnote w:type="continuationSeparator" w:id="0">
    <w:p w:rsidR="0046702F" w:rsidRDefault="0046702F" w:rsidP="00332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DFB"/>
    <w:multiLevelType w:val="hybridMultilevel"/>
    <w:tmpl w:val="F7785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5393"/>
    <w:multiLevelType w:val="hybridMultilevel"/>
    <w:tmpl w:val="CD548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47BA"/>
    <w:multiLevelType w:val="hybridMultilevel"/>
    <w:tmpl w:val="00F2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33141"/>
    <w:multiLevelType w:val="hybridMultilevel"/>
    <w:tmpl w:val="A4CEDA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F40D7"/>
    <w:multiLevelType w:val="hybridMultilevel"/>
    <w:tmpl w:val="58E83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FF"/>
    <w:rsid w:val="0000038E"/>
    <w:rsid w:val="000423E6"/>
    <w:rsid w:val="0006325E"/>
    <w:rsid w:val="00081399"/>
    <w:rsid w:val="000B1951"/>
    <w:rsid w:val="000E2021"/>
    <w:rsid w:val="001533A3"/>
    <w:rsid w:val="001A2B71"/>
    <w:rsid w:val="001C23C8"/>
    <w:rsid w:val="00203504"/>
    <w:rsid w:val="0020518B"/>
    <w:rsid w:val="00216C39"/>
    <w:rsid w:val="00230BCA"/>
    <w:rsid w:val="002674DA"/>
    <w:rsid w:val="002E3A86"/>
    <w:rsid w:val="0033297A"/>
    <w:rsid w:val="00354F6F"/>
    <w:rsid w:val="00382B07"/>
    <w:rsid w:val="003A6523"/>
    <w:rsid w:val="003C3E7F"/>
    <w:rsid w:val="003F3016"/>
    <w:rsid w:val="003F627F"/>
    <w:rsid w:val="00453EFF"/>
    <w:rsid w:val="0046702F"/>
    <w:rsid w:val="004E5784"/>
    <w:rsid w:val="00546297"/>
    <w:rsid w:val="005C50EF"/>
    <w:rsid w:val="005F6DED"/>
    <w:rsid w:val="005F6E6C"/>
    <w:rsid w:val="00697B23"/>
    <w:rsid w:val="006A66EC"/>
    <w:rsid w:val="006B2339"/>
    <w:rsid w:val="006B5EC5"/>
    <w:rsid w:val="006E28C0"/>
    <w:rsid w:val="006E41D7"/>
    <w:rsid w:val="006E4DAA"/>
    <w:rsid w:val="00740B36"/>
    <w:rsid w:val="0074106D"/>
    <w:rsid w:val="00754031"/>
    <w:rsid w:val="007820B2"/>
    <w:rsid w:val="00783E75"/>
    <w:rsid w:val="008529B3"/>
    <w:rsid w:val="00857107"/>
    <w:rsid w:val="008973A0"/>
    <w:rsid w:val="008A6D61"/>
    <w:rsid w:val="00936013"/>
    <w:rsid w:val="00950CB8"/>
    <w:rsid w:val="009521C8"/>
    <w:rsid w:val="0099624D"/>
    <w:rsid w:val="00997405"/>
    <w:rsid w:val="009A2FC8"/>
    <w:rsid w:val="009C1108"/>
    <w:rsid w:val="00A229D1"/>
    <w:rsid w:val="00A5501D"/>
    <w:rsid w:val="00AB7C29"/>
    <w:rsid w:val="00AD7CF3"/>
    <w:rsid w:val="00B12B0A"/>
    <w:rsid w:val="00B47092"/>
    <w:rsid w:val="00C24287"/>
    <w:rsid w:val="00C9091C"/>
    <w:rsid w:val="00CA09E7"/>
    <w:rsid w:val="00CC08CD"/>
    <w:rsid w:val="00CC6709"/>
    <w:rsid w:val="00D05922"/>
    <w:rsid w:val="00D6028C"/>
    <w:rsid w:val="00DA6030"/>
    <w:rsid w:val="00DF00E5"/>
    <w:rsid w:val="00E90A7E"/>
    <w:rsid w:val="00EB2008"/>
    <w:rsid w:val="00EB417E"/>
    <w:rsid w:val="00F22160"/>
    <w:rsid w:val="00F74D79"/>
    <w:rsid w:val="00F9162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C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9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97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3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3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909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03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0038E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038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003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C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9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97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3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3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909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03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0038E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038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00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C446-9FE4-41A3-A81B-62611470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1656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 RPO</dc:creator>
  <cp:lastModifiedBy>Banek Michał</cp:lastModifiedBy>
  <cp:revision>16</cp:revision>
  <cp:lastPrinted>2018-06-28T07:22:00Z</cp:lastPrinted>
  <dcterms:created xsi:type="dcterms:W3CDTF">2018-08-21T11:13:00Z</dcterms:created>
  <dcterms:modified xsi:type="dcterms:W3CDTF">2018-08-21T11:26:00Z</dcterms:modified>
</cp:coreProperties>
</file>